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8CCF" w14:textId="77777777" w:rsidR="00F636CF" w:rsidRDefault="00F636CF"/>
    <w:p w14:paraId="3B2993DA" w14:textId="77777777" w:rsidR="00F636CF" w:rsidRDefault="00F636CF"/>
    <w:p w14:paraId="4519E3F1" w14:textId="77777777" w:rsidR="00F636CF" w:rsidRDefault="00E8493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Professional Learning Community Executive Function Book Study</w:t>
      </w:r>
    </w:p>
    <w:p w14:paraId="0D4A74E9" w14:textId="77777777" w:rsidR="00F636CF" w:rsidRDefault="00E8493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Facilitated Book Study and Interactive Webinars</w:t>
      </w:r>
    </w:p>
    <w:p w14:paraId="7C73D8BF" w14:textId="77777777" w:rsidR="00F636CF" w:rsidRDefault="00E8493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Hosted by: OCALI Autism Center Consultants and SST 8, 14, and 16 Consultants</w:t>
      </w:r>
    </w:p>
    <w:p w14:paraId="034F09E2" w14:textId="77777777" w:rsidR="00F636CF" w:rsidRDefault="00E84937">
      <w:pPr>
        <w:spacing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Dates: January 20, 2022, through April 28, 2022</w:t>
      </w:r>
    </w:p>
    <w:p w14:paraId="0A3AC533" w14:textId="77777777" w:rsidR="00F636CF" w:rsidRDefault="00E84937">
      <w:pPr>
        <w:spacing w:after="240" w:line="360" w:lineRule="auto"/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Do you have students who struggle turning in work? Unorganized? Say things without thinking? Trouble following </w:t>
      </w:r>
      <w:proofErr w:type="gramStart"/>
      <w:r>
        <w:rPr>
          <w:rFonts w:ascii="Arial" w:eastAsia="Arial" w:hAnsi="Arial" w:cs="Arial"/>
          <w:i/>
          <w:color w:val="000000"/>
        </w:rPr>
        <w:t>directions?</w:t>
      </w:r>
      <w:proofErr w:type="gramEnd"/>
      <w:r>
        <w:rPr>
          <w:rFonts w:ascii="Arial" w:eastAsia="Arial" w:hAnsi="Arial" w:cs="Arial"/>
          <w:i/>
          <w:color w:val="000000"/>
        </w:rPr>
        <w:t xml:space="preserve"> These students could have weak executive function skills. Join this professional learning community as we learn about executive function skills and how to support students and families in the short-term as we help build towards independent skills in the long-term.</w:t>
      </w:r>
    </w:p>
    <w:p w14:paraId="0BABDB72" w14:textId="77777777" w:rsidR="00F636CF" w:rsidRDefault="00E8493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Book:</w:t>
      </w:r>
      <w:r>
        <w:rPr>
          <w:rFonts w:ascii="Arial" w:eastAsia="Arial" w:hAnsi="Arial" w:cs="Arial"/>
          <w:b/>
          <w:i/>
          <w:color w:val="000000"/>
        </w:rPr>
        <w:t xml:space="preserve"> “Late, Lost and Unprepared: A Parent’s Guide to Helping Children with Executive Functioning” </w:t>
      </w:r>
      <w:r>
        <w:rPr>
          <w:rFonts w:ascii="Arial" w:eastAsia="Arial" w:hAnsi="Arial" w:cs="Arial"/>
          <w:b/>
          <w:color w:val="000000"/>
        </w:rPr>
        <w:t>by Joyce Cooper-Kahn, Ph.D. and Laurie Dietzel, Ph.D.</w:t>
      </w:r>
    </w:p>
    <w:p w14:paraId="5B0E6B6F" w14:textId="77777777" w:rsidR="00F636CF" w:rsidRDefault="00E84937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Webinars: Jan. 20, 2022 (8:00 a.m. to 8:30 a.m.) *Kick off: What to Expect</w:t>
      </w:r>
    </w:p>
    <w:p w14:paraId="533C79C3" w14:textId="77777777" w:rsidR="00F636CF" w:rsidRDefault="00E84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February 3, 2022 (8:00 a.m. to 9:00 a.m.)</w:t>
      </w:r>
    </w:p>
    <w:p w14:paraId="52180B20" w14:textId="77777777" w:rsidR="00F636CF" w:rsidRDefault="00E84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February 24, 2022 (8:00 a.m. to 9:00 a.m.)                   </w:t>
      </w:r>
    </w:p>
    <w:p w14:paraId="7F6FA9EE" w14:textId="77777777" w:rsidR="00F636CF" w:rsidRDefault="00E84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March 24, 2022 (8:00 a.m. to 9:00 a.m.)</w:t>
      </w:r>
    </w:p>
    <w:p w14:paraId="79D71175" w14:textId="77777777" w:rsidR="00F636CF" w:rsidRDefault="00E84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April 28, 2022 (8:00 a.m. to 9:00 a.m.)</w:t>
      </w:r>
    </w:p>
    <w:p w14:paraId="4F7A3517" w14:textId="77777777" w:rsidR="004D4D49" w:rsidRDefault="00E84937" w:rsidP="004D4D49">
      <w:pPr>
        <w:spacing w:after="240" w:line="276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color w:val="A61C00"/>
        </w:rPr>
        <w:t>The first 18 individuals to register will receive a free copy of the book which will be mailed prior to our Jan. 20th start date.</w:t>
      </w:r>
    </w:p>
    <w:p w14:paraId="3C05BAB7" w14:textId="376D177A" w:rsidR="00F636CF" w:rsidRDefault="00E84937" w:rsidP="004D4D49">
      <w:pPr>
        <w:spacing w:after="240" w:line="276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Graduate credit is available! O</w:t>
      </w:r>
      <w:r w:rsidR="004D4D49"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</w:rPr>
        <w:t>e graduate credit or 17 contact hours with the completion of webinars and/or coursework. Ohio Approv</w:t>
      </w:r>
      <w:r w:rsidR="00D1550B"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</w:rPr>
        <w:t xml:space="preserve"> (OCCRRA) is pending for this book study. </w:t>
      </w:r>
    </w:p>
    <w:p w14:paraId="24DD9306" w14:textId="77777777" w:rsidR="004D4D49" w:rsidRDefault="00E84937" w:rsidP="004D4D49">
      <w:pPr>
        <w:spacing w:after="36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Participants must obtain their own copy of the book (unless you are one of the first 18 to register)</w:t>
      </w:r>
      <w:r>
        <w:rPr>
          <w:rFonts w:ascii="Arial" w:eastAsia="Arial" w:hAnsi="Arial" w:cs="Arial"/>
          <w:i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i/>
        </w:rPr>
        <w:t>Registration is limited</w:t>
      </w:r>
      <w:r>
        <w:rPr>
          <w:rFonts w:ascii="Arial" w:eastAsia="Arial" w:hAnsi="Arial" w:cs="Arial"/>
          <w:i/>
        </w:rPr>
        <w:t>.</w:t>
      </w:r>
    </w:p>
    <w:p w14:paraId="6613E1B4" w14:textId="77777777" w:rsidR="004D4D49" w:rsidRDefault="00E84937" w:rsidP="004D4D49">
      <w:pPr>
        <w:spacing w:after="24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Families are encouraged to participate as well!</w:t>
      </w:r>
    </w:p>
    <w:p w14:paraId="35B01FFC" w14:textId="7A994C5F" w:rsidR="00F636CF" w:rsidRPr="004D4D49" w:rsidRDefault="00E84937" w:rsidP="004D4D49">
      <w:pPr>
        <w:spacing w:after="24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To register for the event, </w:t>
      </w:r>
      <w:hyperlink r:id="rId5">
        <w:r>
          <w:rPr>
            <w:rFonts w:ascii="Arial" w:eastAsia="Arial" w:hAnsi="Arial" w:cs="Arial"/>
            <w:color w:val="1155CC"/>
            <w:u w:val="single"/>
          </w:rPr>
          <w:t>CLICK</w:t>
        </w:r>
        <w:r>
          <w:rPr>
            <w:rFonts w:ascii="Arial" w:eastAsia="Arial" w:hAnsi="Arial" w:cs="Arial"/>
            <w:color w:val="1155CC"/>
            <w:u w:val="single"/>
          </w:rPr>
          <w:t xml:space="preserve"> </w:t>
        </w:r>
        <w:r>
          <w:rPr>
            <w:rFonts w:ascii="Arial" w:eastAsia="Arial" w:hAnsi="Arial" w:cs="Arial"/>
            <w:color w:val="1155CC"/>
            <w:u w:val="single"/>
          </w:rPr>
          <w:t>HE</w:t>
        </w:r>
        <w:r>
          <w:rPr>
            <w:rFonts w:ascii="Arial" w:eastAsia="Arial" w:hAnsi="Arial" w:cs="Arial"/>
            <w:color w:val="1155CC"/>
            <w:u w:val="single"/>
          </w:rPr>
          <w:t>R</w:t>
        </w:r>
        <w:r>
          <w:rPr>
            <w:rFonts w:ascii="Arial" w:eastAsia="Arial" w:hAnsi="Arial" w:cs="Arial"/>
            <w:color w:val="1155CC"/>
            <w:u w:val="single"/>
          </w:rPr>
          <w:t>E</w:t>
        </w:r>
      </w:hyperlink>
      <w:r>
        <w:rPr>
          <w:rFonts w:ascii="Arial" w:eastAsia="Arial" w:hAnsi="Arial" w:cs="Arial"/>
        </w:rPr>
        <w:t xml:space="preserve"> or visit </w:t>
      </w:r>
      <w:r>
        <w:rPr>
          <w:rFonts w:ascii="Arial" w:eastAsia="Arial" w:hAnsi="Arial" w:cs="Arial"/>
          <w:color w:val="1155CC"/>
        </w:rPr>
        <w:t>https://bit.ly/31IFCx8</w:t>
      </w:r>
    </w:p>
    <w:p w14:paraId="40C7DA04" w14:textId="77777777" w:rsidR="00F636CF" w:rsidRDefault="00E84937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Questions, contact Julie Short </w:t>
      </w:r>
      <w:hyperlink r:id="rId6">
        <w:r>
          <w:rPr>
            <w:rFonts w:ascii="Arial" w:eastAsia="Arial" w:hAnsi="Arial" w:cs="Arial"/>
            <w:color w:val="000000"/>
            <w:u w:val="single"/>
          </w:rPr>
          <w:t>julie_short@ocali.org</w:t>
        </w:r>
      </w:hyperlink>
      <w:r>
        <w:rPr>
          <w:rFonts w:ascii="Arial" w:eastAsia="Arial" w:hAnsi="Arial" w:cs="Arial"/>
          <w:color w:val="000000"/>
        </w:rPr>
        <w:t xml:space="preserve"> 614.410.0996</w:t>
      </w:r>
    </w:p>
    <w:p w14:paraId="4E03B2A1" w14:textId="77777777" w:rsidR="00F636CF" w:rsidRDefault="00F636CF">
      <w:pPr>
        <w:jc w:val="center"/>
        <w:rPr>
          <w:rFonts w:ascii="Arial" w:eastAsia="Arial" w:hAnsi="Arial" w:cs="Arial"/>
        </w:rPr>
      </w:pPr>
    </w:p>
    <w:p w14:paraId="7EE8A8E5" w14:textId="77777777" w:rsidR="00F636CF" w:rsidRDefault="00F636CF"/>
    <w:p w14:paraId="3EA4544D" w14:textId="66E3BDDD" w:rsidR="00F636CF" w:rsidRDefault="00FE6543">
      <w:r>
        <w:rPr>
          <w:noProof/>
        </w:rPr>
        <w:drawing>
          <wp:anchor distT="0" distB="0" distL="0" distR="0" simplePos="0" relativeHeight="251660288" behindDoc="0" locked="0" layoutInCell="1" hidden="0" allowOverlap="1" wp14:anchorId="4045F53D" wp14:editId="017E6D30">
            <wp:simplePos x="0" y="0"/>
            <wp:positionH relativeFrom="column">
              <wp:posOffset>447675</wp:posOffset>
            </wp:positionH>
            <wp:positionV relativeFrom="paragraph">
              <wp:posOffset>88900</wp:posOffset>
            </wp:positionV>
            <wp:extent cx="1089660" cy="389255"/>
            <wp:effectExtent l="0" t="0" r="0" b="0"/>
            <wp:wrapSquare wrapText="bothSides" distT="0" distB="0" distL="0" distR="0"/>
            <wp:docPr id="4" name="image2.png" descr="State Support Team 8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ate Support Team 8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38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84937">
        <w:t xml:space="preserve">                          </w:t>
      </w:r>
      <w:r w:rsidR="00E84937">
        <w:rPr>
          <w:noProof/>
        </w:rPr>
        <w:drawing>
          <wp:anchor distT="0" distB="0" distL="0" distR="0" simplePos="0" relativeHeight="251658240" behindDoc="0" locked="0" layoutInCell="1" hidden="0" allowOverlap="1" wp14:anchorId="4142D23C" wp14:editId="3B880D7B">
            <wp:simplePos x="0" y="0"/>
            <wp:positionH relativeFrom="column">
              <wp:posOffset>3486150</wp:posOffset>
            </wp:positionH>
            <wp:positionV relativeFrom="paragraph">
              <wp:posOffset>61913</wp:posOffset>
            </wp:positionV>
            <wp:extent cx="1260422" cy="452964"/>
            <wp:effectExtent l="0" t="0" r="0" b="0"/>
            <wp:wrapSquare wrapText="bothSides" distT="0" distB="0" distL="0" distR="0"/>
            <wp:docPr id="3" name="image4.png" descr="State Support Team 16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tate Support Team 16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422" cy="4529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84937">
        <w:rPr>
          <w:noProof/>
        </w:rPr>
        <w:drawing>
          <wp:anchor distT="0" distB="0" distL="0" distR="0" simplePos="0" relativeHeight="251659264" behindDoc="0" locked="0" layoutInCell="1" hidden="0" allowOverlap="1" wp14:anchorId="6D79FEAC" wp14:editId="53271FAC">
            <wp:simplePos x="0" y="0"/>
            <wp:positionH relativeFrom="column">
              <wp:posOffset>1957388</wp:posOffset>
            </wp:positionH>
            <wp:positionV relativeFrom="paragraph">
              <wp:posOffset>23813</wp:posOffset>
            </wp:positionV>
            <wp:extent cx="1143511" cy="539394"/>
            <wp:effectExtent l="0" t="0" r="0" b="0"/>
            <wp:wrapSquare wrapText="bothSides" distT="0" distB="0" distL="0" distR="0"/>
            <wp:docPr id="2" name="image3.png" descr="State Support Team 14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tate Support Team 14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511" cy="539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84937">
        <w:rPr>
          <w:noProof/>
        </w:rPr>
        <w:drawing>
          <wp:anchor distT="0" distB="0" distL="0" distR="0" simplePos="0" relativeHeight="251661312" behindDoc="0" locked="0" layoutInCell="1" hidden="0" allowOverlap="1" wp14:anchorId="1F6F5EF3" wp14:editId="0E9A4182">
            <wp:simplePos x="0" y="0"/>
            <wp:positionH relativeFrom="column">
              <wp:posOffset>5000625</wp:posOffset>
            </wp:positionH>
            <wp:positionV relativeFrom="paragraph">
              <wp:posOffset>66675</wp:posOffset>
            </wp:positionV>
            <wp:extent cx="1332444" cy="443157"/>
            <wp:effectExtent l="0" t="0" r="0" b="0"/>
            <wp:wrapSquare wrapText="bothSides" distT="0" distB="0" distL="0" distR="0"/>
            <wp:docPr id="1" name="image1.png" descr="OCALI Autism Cen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CALI Autism Center log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444" cy="4431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636C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634"/>
    <w:multiLevelType w:val="multilevel"/>
    <w:tmpl w:val="49107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CF"/>
    <w:rsid w:val="004D4D49"/>
    <w:rsid w:val="00D13C9D"/>
    <w:rsid w:val="00D1550B"/>
    <w:rsid w:val="00E84937"/>
    <w:rsid w:val="00F636CF"/>
    <w:rsid w:val="00FE149B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D3B1"/>
  <w15:docId w15:val="{BAB045E7-EB34-A24E-8FD4-A1689F4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_short@ocali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dwJ_ARMakEwuv_jS1MH-uy_A_-jwi9qrf5WSuz8piImgR-tw/viewform?usp=sf_lin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Mail</dc:creator>
  <cp:lastModifiedBy>Heidi Kerchenski</cp:lastModifiedBy>
  <cp:revision>2</cp:revision>
  <dcterms:created xsi:type="dcterms:W3CDTF">2022-01-12T23:20:00Z</dcterms:created>
  <dcterms:modified xsi:type="dcterms:W3CDTF">2022-01-12T23:20:00Z</dcterms:modified>
</cp:coreProperties>
</file>